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DAFA96" w14:textId="77777777" w:rsidR="001E6321" w:rsidRDefault="001E6321"/>
    <w:p w14:paraId="2FB0EA85" w14:textId="77777777" w:rsidR="001E6321" w:rsidRDefault="001E6321"/>
    <w:p w14:paraId="75F98D5C" w14:textId="77777777" w:rsidR="001E6321" w:rsidRDefault="001E6321"/>
    <w:p w14:paraId="7C23A3DF" w14:textId="77777777" w:rsidR="001E6321" w:rsidRDefault="001E6321"/>
    <w:p w14:paraId="43AD1AA7" w14:textId="77777777" w:rsidR="001E6321" w:rsidRDefault="001E6321"/>
    <w:p w14:paraId="6B975E66" w14:textId="77777777" w:rsidR="001E6321" w:rsidRDefault="001E6321"/>
    <w:p w14:paraId="7EF43C73" w14:textId="77777777" w:rsidR="001E6321" w:rsidRDefault="001E6321"/>
    <w:p w14:paraId="34CB10D3" w14:textId="77777777" w:rsidR="001E6321" w:rsidRDefault="001E6321"/>
    <w:p w14:paraId="60C46D8D" w14:textId="77777777" w:rsidR="001E6321" w:rsidRDefault="001E6321"/>
    <w:p w14:paraId="5389F96A" w14:textId="77777777" w:rsidR="001E6321" w:rsidRDefault="001E6321"/>
    <w:p w14:paraId="7528A327" w14:textId="77777777" w:rsidR="001E6321" w:rsidRDefault="001E6321"/>
    <w:p w14:paraId="5833F665" w14:textId="77777777" w:rsidR="001E6321" w:rsidRDefault="001E6321"/>
    <w:p w14:paraId="43F57B61" w14:textId="3A8BB644" w:rsidR="001E6321" w:rsidRDefault="000824C0" w:rsidP="001E6321">
      <w:pPr>
        <w:jc w:val="center"/>
        <w:rPr>
          <w:b/>
          <w:iCs/>
        </w:rPr>
      </w:pPr>
      <w:r w:rsidRPr="001E6321">
        <w:rPr>
          <w:iCs/>
        </w:rPr>
        <w:t>Pearson V. Callahan (2009) Mini Brief</w:t>
      </w:r>
    </w:p>
    <w:p w14:paraId="4DD0CFC4" w14:textId="4EEA6E7B" w:rsidR="001E6321" w:rsidRDefault="000824C0" w:rsidP="001E6321">
      <w:pPr>
        <w:jc w:val="center"/>
      </w:pPr>
      <w:r>
        <w:t>Name</w:t>
      </w:r>
    </w:p>
    <w:p w14:paraId="2C5DA277" w14:textId="286558E2" w:rsidR="001E6321" w:rsidRDefault="000824C0" w:rsidP="001E6321">
      <w:pPr>
        <w:jc w:val="center"/>
      </w:pPr>
      <w:r>
        <w:t>Institution</w:t>
      </w:r>
    </w:p>
    <w:p w14:paraId="60DCBF76" w14:textId="77777777" w:rsidR="001E6321" w:rsidRDefault="001E6321"/>
    <w:p w14:paraId="09113EE6" w14:textId="77777777" w:rsidR="001E6321" w:rsidRDefault="001E6321"/>
    <w:p w14:paraId="15FF3BCC" w14:textId="530F9D95" w:rsidR="001E6321" w:rsidRDefault="001E6321"/>
    <w:p w14:paraId="191D41E9" w14:textId="127646E3" w:rsidR="001E6321" w:rsidRDefault="001E6321"/>
    <w:p w14:paraId="5E8A31A1" w14:textId="769ECC0B" w:rsidR="001E6321" w:rsidRDefault="001E6321"/>
    <w:p w14:paraId="4506CB0A" w14:textId="30A82104" w:rsidR="001E6321" w:rsidRDefault="001E6321"/>
    <w:p w14:paraId="3D075CE3" w14:textId="5E834069" w:rsidR="001E6321" w:rsidRDefault="001E6321"/>
    <w:p w14:paraId="6C4AF514" w14:textId="12A8E08D" w:rsidR="001E6321" w:rsidRDefault="001E6321"/>
    <w:p w14:paraId="73BB446E" w14:textId="723D2D8A" w:rsidR="001E6321" w:rsidRDefault="001E6321"/>
    <w:p w14:paraId="3008F175" w14:textId="6223E5C0" w:rsidR="001E6321" w:rsidRDefault="001E6321"/>
    <w:p w14:paraId="1631E532" w14:textId="13327EF7" w:rsidR="001E6321" w:rsidRDefault="001E6321"/>
    <w:p w14:paraId="133D8E5E" w14:textId="3B8B6E50" w:rsidR="001E6321" w:rsidRDefault="001E6321"/>
    <w:p w14:paraId="6F13B572" w14:textId="77777777" w:rsidR="001E6321" w:rsidRDefault="001E6321"/>
    <w:p w14:paraId="7624CB51" w14:textId="75A6AB1C" w:rsidR="00FD3C40" w:rsidRDefault="000824C0" w:rsidP="00FF463B">
      <w:pPr>
        <w:spacing w:line="480" w:lineRule="auto"/>
        <w:ind w:firstLine="720"/>
        <w:jc w:val="both"/>
      </w:pPr>
      <w:r>
        <w:lastRenderedPageBreak/>
        <w:t xml:space="preserve">Citation: </w:t>
      </w:r>
      <w:r w:rsidRPr="00CA63AF">
        <w:t>555 U.S. 223, 129 S. Ct. 808, 172 L. Ed. 2d 565, 2009 U.S. LEXIS 591</w:t>
      </w:r>
    </w:p>
    <w:p w14:paraId="64102A5D" w14:textId="114845F2" w:rsidR="00CA63AF" w:rsidRDefault="000824C0" w:rsidP="00FF463B">
      <w:pPr>
        <w:spacing w:line="480" w:lineRule="auto"/>
        <w:ind w:firstLine="720"/>
        <w:jc w:val="both"/>
      </w:pPr>
      <w:r>
        <w:t xml:space="preserve">Petitioner: </w:t>
      </w:r>
      <w:r w:rsidRPr="00CA63AF">
        <w:t>Cordell Pearson, et al.</w:t>
      </w:r>
    </w:p>
    <w:p w14:paraId="35EDC639" w14:textId="2924ABA8" w:rsidR="00CA63AF" w:rsidRDefault="000824C0" w:rsidP="00FF463B">
      <w:pPr>
        <w:spacing w:line="480" w:lineRule="auto"/>
        <w:ind w:firstLine="720"/>
        <w:jc w:val="both"/>
      </w:pPr>
      <w:r>
        <w:t xml:space="preserve">Respondent: </w:t>
      </w:r>
      <w:r w:rsidRPr="00CA63AF">
        <w:t>Afton Callahan</w:t>
      </w:r>
    </w:p>
    <w:p w14:paraId="7228DBF7" w14:textId="229796E5" w:rsidR="00CA63AF" w:rsidRDefault="000824C0" w:rsidP="00FF463B">
      <w:pPr>
        <w:spacing w:line="480" w:lineRule="auto"/>
        <w:ind w:firstLine="720"/>
        <w:jc w:val="both"/>
      </w:pPr>
      <w:r>
        <w:t xml:space="preserve">Introduction </w:t>
      </w:r>
    </w:p>
    <w:p w14:paraId="2C84A656" w14:textId="0AD9D967" w:rsidR="00CA63AF" w:rsidRDefault="000824C0" w:rsidP="00FF463B">
      <w:pPr>
        <w:spacing w:line="480" w:lineRule="auto"/>
        <w:ind w:firstLine="720"/>
        <w:jc w:val="both"/>
      </w:pPr>
      <w:r>
        <w:t xml:space="preserve">The Central Utah </w:t>
      </w:r>
      <w:r w:rsidR="00715E34">
        <w:t>Narcotics</w:t>
      </w:r>
      <w:r>
        <w:t xml:space="preserve"> Task Force searched the residence </w:t>
      </w:r>
      <w:r w:rsidR="00715E34">
        <w:t>of Utah</w:t>
      </w:r>
      <w:r>
        <w:t xml:space="preserve"> resident</w:t>
      </w:r>
      <w:r w:rsidR="00614307">
        <w:t xml:space="preserve">, </w:t>
      </w:r>
      <w:r w:rsidR="00614307" w:rsidRPr="00614307">
        <w:t>Afton Callahan</w:t>
      </w:r>
      <w:r w:rsidR="00614307">
        <w:t xml:space="preserve">. The security officer </w:t>
      </w:r>
      <w:r w:rsidR="00715E34">
        <w:t>had a reason</w:t>
      </w:r>
      <w:r w:rsidR="00614307">
        <w:t xml:space="preserve"> to understand that the plaintiff </w:t>
      </w:r>
      <w:r w:rsidR="00715E34">
        <w:t>was a</w:t>
      </w:r>
      <w:r w:rsidR="00614307">
        <w:t xml:space="preserve"> </w:t>
      </w:r>
      <w:r w:rsidR="00614307" w:rsidRPr="00614307">
        <w:t>methamphetamine dealer</w:t>
      </w:r>
      <w:r w:rsidR="00614307">
        <w:t xml:space="preserve"> through an </w:t>
      </w:r>
      <w:r w:rsidR="00715E34">
        <w:t>informant who</w:t>
      </w:r>
      <w:r w:rsidR="00614307">
        <w:t xml:space="preserve"> was sent to his home to make a purchase. The Taskforce focused on the signal that was </w:t>
      </w:r>
      <w:r w:rsidR="00715E34">
        <w:t>communicated by</w:t>
      </w:r>
      <w:r w:rsidR="00614307">
        <w:t xml:space="preserve"> the informant who informed them that a sake had already taken place. The Taskforce entered </w:t>
      </w:r>
      <w:r w:rsidR="00715E34">
        <w:t>the house</w:t>
      </w:r>
      <w:r w:rsidR="00614307">
        <w:t xml:space="preserve"> and conducted a protective sweep of </w:t>
      </w:r>
      <w:r w:rsidR="00715E34">
        <w:t>the</w:t>
      </w:r>
      <w:r w:rsidR="00614307">
        <w:t xml:space="preserve"> house without having warrant although they sought the approval from Afton Callaham. </w:t>
      </w:r>
      <w:r w:rsidR="00715E34">
        <w:t>Therefore,</w:t>
      </w:r>
      <w:r w:rsidR="00614307">
        <w:t xml:space="preserve"> at a trial in the tenth circuit</w:t>
      </w:r>
      <w:r w:rsidR="00061FEF">
        <w:t xml:space="preserve"> court, Callahan was convicted for possessing and the distribution of </w:t>
      </w:r>
      <w:r w:rsidR="00715E34" w:rsidRPr="00061FEF">
        <w:t xml:space="preserve">methamphetamine </w:t>
      </w:r>
      <w:r w:rsidR="00715E34">
        <w:t>based</w:t>
      </w:r>
      <w:r w:rsidR="00061FEF">
        <w:t xml:space="preserve"> on the evidence that </w:t>
      </w:r>
      <w:r w:rsidR="00061FEF" w:rsidRPr="00A03602">
        <w:rPr>
          <w:noProof/>
        </w:rPr>
        <w:t>was obtained</w:t>
      </w:r>
      <w:r w:rsidR="00061FEF">
        <w:t xml:space="preserve"> from the search that </w:t>
      </w:r>
      <w:r w:rsidR="00061FEF" w:rsidRPr="00A03602">
        <w:rPr>
          <w:noProof/>
        </w:rPr>
        <w:t xml:space="preserve">was </w:t>
      </w:r>
      <w:r w:rsidR="00715E34" w:rsidRPr="00A03602">
        <w:rPr>
          <w:noProof/>
        </w:rPr>
        <w:t>conducted</w:t>
      </w:r>
      <w:r w:rsidR="00715E34">
        <w:t xml:space="preserve"> without</w:t>
      </w:r>
      <w:r w:rsidR="00061FEF">
        <w:t xml:space="preserve"> a search warrant. The Respondent appealed the decision to the Utah Court of Appeals held that the evidence was </w:t>
      </w:r>
      <w:r w:rsidR="00715E34">
        <w:t>inadmissible as</w:t>
      </w:r>
      <w:r w:rsidR="00061FEF">
        <w:t xml:space="preserve"> </w:t>
      </w:r>
      <w:r w:rsidR="00715E34">
        <w:t>part</w:t>
      </w:r>
      <w:r w:rsidR="00061FEF">
        <w:t xml:space="preserve"> of the evidence because the</w:t>
      </w:r>
      <w:r w:rsidR="00A03602">
        <w:t>y</w:t>
      </w:r>
      <w:r w:rsidR="00061FEF">
        <w:t xml:space="preserve"> did not </w:t>
      </w:r>
      <w:r w:rsidR="00715E34">
        <w:t>follow</w:t>
      </w:r>
      <w:r w:rsidR="00061FEF">
        <w:t xml:space="preserve"> the due process. </w:t>
      </w:r>
      <w:r w:rsidR="00715E34">
        <w:t>Therefore,</w:t>
      </w:r>
      <w:r w:rsidR="00061FEF">
        <w:t xml:space="preserve"> the </w:t>
      </w:r>
      <w:r w:rsidR="00715E34">
        <w:t>Utah court</w:t>
      </w:r>
      <w:r w:rsidR="00061FEF">
        <w:t xml:space="preserve"> of </w:t>
      </w:r>
      <w:r w:rsidR="00715E34">
        <w:t>appeal reversed</w:t>
      </w:r>
      <w:r w:rsidR="00061FEF">
        <w:t xml:space="preserve"> the initial decision.</w:t>
      </w:r>
    </w:p>
    <w:p w14:paraId="739CD3C4" w14:textId="3AE46989" w:rsidR="00061FEF" w:rsidRDefault="000824C0" w:rsidP="00FF463B">
      <w:pPr>
        <w:spacing w:line="480" w:lineRule="auto"/>
        <w:ind w:firstLine="720"/>
        <w:jc w:val="both"/>
      </w:pPr>
      <w:r>
        <w:t>Besides, Callahan filed</w:t>
      </w:r>
      <w:r w:rsidR="004F0EAD">
        <w:t xml:space="preserve"> a lawsuit against th</w:t>
      </w:r>
      <w:r>
        <w:t xml:space="preserve">e </w:t>
      </w:r>
      <w:r w:rsidR="004F0EAD">
        <w:t>T</w:t>
      </w:r>
      <w:r>
        <w:t>ask Force</w:t>
      </w:r>
      <w:r w:rsidR="004F0EAD">
        <w:t xml:space="preserve"> and individual </w:t>
      </w:r>
      <w:r w:rsidR="00715E34">
        <w:t>officers in</w:t>
      </w:r>
      <w:r>
        <w:t xml:space="preserve"> federal court</w:t>
      </w:r>
      <w:r w:rsidR="004F0EAD">
        <w:t xml:space="preserve"> </w:t>
      </w:r>
      <w:r w:rsidR="00715E34">
        <w:t>with</w:t>
      </w:r>
      <w:r w:rsidR="004F0EAD">
        <w:t xml:space="preserve"> a critical focus that the </w:t>
      </w:r>
      <w:r w:rsidR="00715E34">
        <w:t>search</w:t>
      </w:r>
      <w:r w:rsidR="004F0EAD">
        <w:t xml:space="preserve"> </w:t>
      </w:r>
      <w:r w:rsidR="00715E34">
        <w:t>violated his</w:t>
      </w:r>
      <w:r w:rsidR="004F0EAD">
        <w:t xml:space="preserve"> constitutional rights as outlined in the fourth </w:t>
      </w:r>
      <w:r w:rsidR="00715E34">
        <w:t>amendment</w:t>
      </w:r>
      <w:r w:rsidR="004F0EAD">
        <w:t xml:space="preserve">. </w:t>
      </w:r>
      <w:r w:rsidR="00715E34">
        <w:t>The district</w:t>
      </w:r>
      <w:r w:rsidR="004F0EAD">
        <w:t xml:space="preserve"> court of Utah </w:t>
      </w:r>
      <w:r w:rsidR="00715E34">
        <w:t>dismissed</w:t>
      </w:r>
      <w:r w:rsidR="004F0EAD">
        <w:t xml:space="preserve"> his claim by asserting that the consent once removed doctrine. Under this </w:t>
      </w:r>
      <w:r w:rsidR="00715E34">
        <w:t>doctrine, an</w:t>
      </w:r>
      <w:r w:rsidR="004F0EAD">
        <w:t xml:space="preserve"> undercover </w:t>
      </w:r>
      <w:r w:rsidR="00715E34">
        <w:t>officer might</w:t>
      </w:r>
      <w:r w:rsidR="004F0EAD">
        <w:t xml:space="preserve"> call for backup officers in a situation </w:t>
      </w:r>
      <w:r w:rsidR="00473051">
        <w:t xml:space="preserve">where the officer has been invited into the home </w:t>
      </w:r>
      <w:r w:rsidR="00715E34">
        <w:t>through the issuance</w:t>
      </w:r>
      <w:r w:rsidR="00473051">
        <w:t xml:space="preserve"> of consent by the homeowner. </w:t>
      </w:r>
      <w:r w:rsidR="00715E34">
        <w:t>However, the</w:t>
      </w:r>
      <w:r w:rsidR="00473051">
        <w:t xml:space="preserve"> court of </w:t>
      </w:r>
      <w:r w:rsidR="00715E34">
        <w:t>an</w:t>
      </w:r>
      <w:r w:rsidR="00473051">
        <w:t xml:space="preserve"> </w:t>
      </w:r>
      <w:r w:rsidR="00715E34">
        <w:t>appeal</w:t>
      </w:r>
      <w:r w:rsidR="00473051">
        <w:t xml:space="preserve"> for the Tenth Circuit disagreed with the </w:t>
      </w:r>
      <w:r w:rsidR="002F2740">
        <w:t xml:space="preserve">developed claim holding that the doctrine consent once </w:t>
      </w:r>
      <w:r w:rsidR="00715E34">
        <w:t>removed does</w:t>
      </w:r>
      <w:r w:rsidR="002F2740">
        <w:t xml:space="preserve"> not apply in </w:t>
      </w:r>
      <w:r w:rsidR="00715E34">
        <w:t>this case</w:t>
      </w:r>
      <w:r w:rsidR="002F2740">
        <w:t xml:space="preserve"> </w:t>
      </w:r>
      <w:r w:rsidR="00715E34">
        <w:t>when a police</w:t>
      </w:r>
      <w:r w:rsidR="002F2740">
        <w:t xml:space="preserve"> </w:t>
      </w:r>
      <w:r w:rsidR="002F2740">
        <w:lastRenderedPageBreak/>
        <w:t xml:space="preserve">informant summons </w:t>
      </w:r>
      <w:proofErr w:type="gramStart"/>
      <w:r w:rsidR="002F2740">
        <w:t>officers</w:t>
      </w:r>
      <w:proofErr w:type="gramEnd"/>
      <w:r w:rsidR="002F2740">
        <w:t xml:space="preserve">. </w:t>
      </w:r>
      <w:r w:rsidR="00715E34">
        <w:t>Therefore,</w:t>
      </w:r>
      <w:r w:rsidR="002F2740">
        <w:t xml:space="preserve"> the court of appeal established that the </w:t>
      </w:r>
      <w:r w:rsidR="00715E34">
        <w:t>Respondent’s rights</w:t>
      </w:r>
      <w:r w:rsidR="002F2740">
        <w:t xml:space="preserve"> under the fourth </w:t>
      </w:r>
      <w:r w:rsidR="00715E34">
        <w:t>amendment’s</w:t>
      </w:r>
      <w:r w:rsidR="002F2740">
        <w:t xml:space="preserve"> unreasonable </w:t>
      </w:r>
      <w:r w:rsidR="00715E34">
        <w:t>search</w:t>
      </w:r>
      <w:r w:rsidR="002F2740">
        <w:t xml:space="preserve"> and seizures </w:t>
      </w:r>
      <w:r w:rsidR="002F2740" w:rsidRPr="00A03602">
        <w:rPr>
          <w:noProof/>
        </w:rPr>
        <w:t>was violated</w:t>
      </w:r>
      <w:r w:rsidR="002F2740">
        <w:t xml:space="preserve">. </w:t>
      </w:r>
      <w:r w:rsidR="00715E34">
        <w:t>However,</w:t>
      </w:r>
      <w:r w:rsidR="002F2740">
        <w:t xml:space="preserve"> the decision by </w:t>
      </w:r>
      <w:r w:rsidR="00715E34">
        <w:t>the Court</w:t>
      </w:r>
      <w:r w:rsidR="002F2740">
        <w:t xml:space="preserve"> of appeal Tenth Circuit </w:t>
      </w:r>
      <w:r w:rsidR="002F2740" w:rsidRPr="00A03602">
        <w:rPr>
          <w:noProof/>
        </w:rPr>
        <w:t xml:space="preserve">was </w:t>
      </w:r>
      <w:r w:rsidR="00715E34" w:rsidRPr="00A03602">
        <w:rPr>
          <w:noProof/>
        </w:rPr>
        <w:t>appealed</w:t>
      </w:r>
      <w:r w:rsidR="00715E34">
        <w:t xml:space="preserve"> to</w:t>
      </w:r>
      <w:r w:rsidR="002F2740">
        <w:t xml:space="preserve"> the United States Supreme court.  </w:t>
      </w:r>
    </w:p>
    <w:p w14:paraId="579E2E46" w14:textId="7998F904" w:rsidR="002F2740" w:rsidRDefault="000824C0" w:rsidP="00FF463B">
      <w:pPr>
        <w:spacing w:line="480" w:lineRule="auto"/>
        <w:ind w:firstLine="720"/>
        <w:jc w:val="both"/>
      </w:pPr>
      <w:r>
        <w:t>The facts of the case</w:t>
      </w:r>
    </w:p>
    <w:p w14:paraId="677CE48D" w14:textId="51B47533" w:rsidR="008534CB" w:rsidRDefault="000824C0" w:rsidP="00FF463B">
      <w:pPr>
        <w:spacing w:line="480" w:lineRule="auto"/>
        <w:ind w:firstLine="720"/>
        <w:jc w:val="both"/>
      </w:pPr>
      <w:r>
        <w:t xml:space="preserve">The main issues that were </w:t>
      </w:r>
      <w:r w:rsidRPr="00A03602">
        <w:rPr>
          <w:noProof/>
        </w:rPr>
        <w:t>being sought</w:t>
      </w:r>
      <w:r>
        <w:t xml:space="preserve"> in the </w:t>
      </w:r>
      <w:r w:rsidR="00715E34">
        <w:t>case w</w:t>
      </w:r>
      <w:r>
        <w:t xml:space="preserve">ere to assess whether the Officers had violated the rights of the respondent against unreasonable searches and </w:t>
      </w:r>
      <w:r w:rsidR="00715E34">
        <w:t>seizures as</w:t>
      </w:r>
      <w:r>
        <w:t xml:space="preserve"> protected by the fourth </w:t>
      </w:r>
      <w:r w:rsidR="00861D48">
        <w:t>amendment</w:t>
      </w:r>
      <w:r>
        <w:t xml:space="preserve">. </w:t>
      </w:r>
      <w:r w:rsidR="00715E34">
        <w:t>Therefore,</w:t>
      </w:r>
      <w:r>
        <w:t xml:space="preserve"> the issues of the case that were </w:t>
      </w:r>
      <w:r w:rsidRPr="00A03602">
        <w:rPr>
          <w:noProof/>
        </w:rPr>
        <w:t>being evaluated</w:t>
      </w:r>
      <w:r>
        <w:t xml:space="preserve"> </w:t>
      </w:r>
      <w:r w:rsidR="00715E34">
        <w:t>included the</w:t>
      </w:r>
      <w:r>
        <w:t xml:space="preserve"> understanding of </w:t>
      </w:r>
      <w:r w:rsidR="00715E34">
        <w:t>whether a</w:t>
      </w:r>
      <w:r>
        <w:t xml:space="preserve"> police entry following an </w:t>
      </w:r>
      <w:r w:rsidR="00715E34">
        <w:t>informant’s</w:t>
      </w:r>
      <w:r>
        <w:t xml:space="preserve"> signal of probable cause violates the fourth amendment under the consent once removed. </w:t>
      </w:r>
      <w:r w:rsidRPr="00A03602">
        <w:rPr>
          <w:noProof/>
        </w:rPr>
        <w:t>This</w:t>
      </w:r>
      <w:r>
        <w:t xml:space="preserve"> is the main issue that forms the basis of the case, and thus the determination of the supreme court based </w:t>
      </w:r>
      <w:r w:rsidR="00715E34">
        <w:t>on a better</w:t>
      </w:r>
      <w:r>
        <w:t xml:space="preserve"> understanding on this concept will be essential in outlining </w:t>
      </w:r>
      <w:r w:rsidR="00861D48">
        <w:t xml:space="preserve">better aspects </w:t>
      </w:r>
      <w:r w:rsidR="00715E34">
        <w:t>that officers</w:t>
      </w:r>
      <w:r w:rsidR="00861D48">
        <w:t xml:space="preserve"> can consider in obtaining evidence that can be administered in the court process to help prosecution cement their case.</w:t>
      </w:r>
    </w:p>
    <w:p w14:paraId="7C960CDB" w14:textId="7FDB4D72" w:rsidR="002F2740" w:rsidRDefault="000824C0" w:rsidP="00FF463B">
      <w:pPr>
        <w:spacing w:line="480" w:lineRule="auto"/>
        <w:ind w:firstLine="720"/>
        <w:jc w:val="both"/>
        <w:rPr>
          <w:iCs/>
        </w:rPr>
      </w:pPr>
      <w:r>
        <w:t xml:space="preserve">Another consideration that was </w:t>
      </w:r>
      <w:r w:rsidRPr="00A03602">
        <w:rPr>
          <w:noProof/>
        </w:rPr>
        <w:t>being sought</w:t>
      </w:r>
      <w:r>
        <w:t xml:space="preserve"> was </w:t>
      </w:r>
      <w:r w:rsidR="00715E34">
        <w:t>whether it</w:t>
      </w:r>
      <w:r>
        <w:t xml:space="preserve"> </w:t>
      </w:r>
      <w:r w:rsidRPr="00A03602">
        <w:rPr>
          <w:noProof/>
        </w:rPr>
        <w:t xml:space="preserve">was </w:t>
      </w:r>
      <w:r w:rsidR="00715E34" w:rsidRPr="00A03602">
        <w:rPr>
          <w:noProof/>
        </w:rPr>
        <w:t>established</w:t>
      </w:r>
      <w:r w:rsidR="00715E34">
        <w:t xml:space="preserve"> at</w:t>
      </w:r>
      <w:r>
        <w:t xml:space="preserve"> the </w:t>
      </w:r>
      <w:r w:rsidR="00715E34">
        <w:t>time of</w:t>
      </w:r>
      <w:r>
        <w:t xml:space="preserve"> entry in the case that the consent of once removed </w:t>
      </w:r>
      <w:r w:rsidR="00715E34">
        <w:t>doctrine was</w:t>
      </w:r>
      <w:r>
        <w:t xml:space="preserve"> a violation of the fourth </w:t>
      </w:r>
      <w:r w:rsidR="00861D48">
        <w:t>amendment</w:t>
      </w:r>
      <w:r>
        <w:t xml:space="preserve">. </w:t>
      </w:r>
      <w:r w:rsidR="00861D48">
        <w:t xml:space="preserve"> The </w:t>
      </w:r>
      <w:r w:rsidR="00861D48" w:rsidRPr="00A03602">
        <w:rPr>
          <w:noProof/>
        </w:rPr>
        <w:t>doctrine</w:t>
      </w:r>
      <w:r w:rsidR="00861D48">
        <w:t xml:space="preserve"> </w:t>
      </w:r>
      <w:r w:rsidR="00715E34">
        <w:t>provides</w:t>
      </w:r>
      <w:r w:rsidR="00861D48">
        <w:t xml:space="preserve"> a particular focus on the aspects involved in ensuring that the evidence </w:t>
      </w:r>
      <w:r w:rsidR="00861D48" w:rsidRPr="00A03602">
        <w:rPr>
          <w:noProof/>
        </w:rPr>
        <w:t>provided</w:t>
      </w:r>
      <w:r w:rsidR="00861D48">
        <w:t xml:space="preserve"> is valid. A suspect must open door </w:t>
      </w:r>
      <w:r w:rsidR="00715E34">
        <w:t>voluntarily</w:t>
      </w:r>
      <w:r w:rsidR="00861D48">
        <w:t xml:space="preserve"> to </w:t>
      </w:r>
      <w:r w:rsidR="00715E34">
        <w:t>undercover police</w:t>
      </w:r>
      <w:r w:rsidR="00861D48">
        <w:t xml:space="preserve"> and not anyone else to invoke this doctrine. </w:t>
      </w:r>
      <w:r>
        <w:t xml:space="preserve">Another issue was to evaluate whether the supreme court should </w:t>
      </w:r>
      <w:r w:rsidR="00715E34">
        <w:t>overturn the</w:t>
      </w:r>
      <w:r>
        <w:t xml:space="preserve"> previous decision that was made in the case </w:t>
      </w:r>
      <w:r w:rsidRPr="008534CB">
        <w:rPr>
          <w:i/>
          <w:iCs/>
        </w:rPr>
        <w:t>Saucier v. Katz</w:t>
      </w:r>
      <w:r>
        <w:rPr>
          <w:i/>
          <w:iCs/>
        </w:rPr>
        <w:t>.</w:t>
      </w:r>
      <w:r>
        <w:rPr>
          <w:iCs/>
        </w:rPr>
        <w:t xml:space="preserve"> The consideration of these issues as developed in the case </w:t>
      </w:r>
      <w:r w:rsidRPr="00A03602">
        <w:rPr>
          <w:iCs/>
          <w:noProof/>
        </w:rPr>
        <w:t>are based</w:t>
      </w:r>
      <w:r>
        <w:rPr>
          <w:iCs/>
        </w:rPr>
        <w:t xml:space="preserve"> on critical outline and interpretation of the fourth </w:t>
      </w:r>
      <w:r w:rsidR="00715E34">
        <w:rPr>
          <w:iCs/>
        </w:rPr>
        <w:t>amendment</w:t>
      </w:r>
      <w:r>
        <w:rPr>
          <w:iCs/>
        </w:rPr>
        <w:t xml:space="preserve"> and the underlying </w:t>
      </w:r>
      <w:r w:rsidR="00715E34">
        <w:rPr>
          <w:iCs/>
        </w:rPr>
        <w:t>exemptions</w:t>
      </w:r>
      <w:r>
        <w:rPr>
          <w:iCs/>
        </w:rPr>
        <w:t xml:space="preserve"> </w:t>
      </w:r>
      <w:r w:rsidR="00715E34">
        <w:rPr>
          <w:iCs/>
        </w:rPr>
        <w:t>under which</w:t>
      </w:r>
      <w:r>
        <w:rPr>
          <w:iCs/>
        </w:rPr>
        <w:t xml:space="preserve"> it could be considered legal to search without </w:t>
      </w:r>
      <w:r w:rsidR="00715E34">
        <w:rPr>
          <w:iCs/>
        </w:rPr>
        <w:t>warrant especially</w:t>
      </w:r>
      <w:r>
        <w:rPr>
          <w:iCs/>
        </w:rPr>
        <w:t xml:space="preserve"> in cases where there is a probable cause.</w:t>
      </w:r>
    </w:p>
    <w:p w14:paraId="2833B6F7" w14:textId="77777777" w:rsidR="00F263C9" w:rsidRDefault="00F263C9" w:rsidP="00FF463B">
      <w:pPr>
        <w:spacing w:line="480" w:lineRule="auto"/>
        <w:ind w:firstLine="720"/>
        <w:jc w:val="both"/>
      </w:pPr>
    </w:p>
    <w:p w14:paraId="52E101C6" w14:textId="2DBF8A91" w:rsidR="002F2740" w:rsidRDefault="000824C0" w:rsidP="00FF463B">
      <w:pPr>
        <w:spacing w:line="480" w:lineRule="auto"/>
        <w:ind w:firstLine="720"/>
        <w:jc w:val="both"/>
      </w:pPr>
      <w:r>
        <w:lastRenderedPageBreak/>
        <w:t xml:space="preserve">The </w:t>
      </w:r>
      <w:r w:rsidR="00BD0375">
        <w:t>Majority Opinion</w:t>
      </w:r>
    </w:p>
    <w:p w14:paraId="00868324" w14:textId="49E9DA99" w:rsidR="00074BCA" w:rsidRDefault="000824C0" w:rsidP="00FF463B">
      <w:pPr>
        <w:spacing w:line="480" w:lineRule="auto"/>
        <w:ind w:firstLine="720"/>
        <w:jc w:val="both"/>
      </w:pPr>
      <w:r>
        <w:t xml:space="preserve">The Supreme court in a unanimous decision written by Justice Samuel Alito, the supreme court held </w:t>
      </w:r>
      <w:r w:rsidR="00715E34">
        <w:t>that at</w:t>
      </w:r>
      <w:r>
        <w:t xml:space="preserve"> the time of the police entry, </w:t>
      </w:r>
      <w:r w:rsidR="00F263C9">
        <w:t xml:space="preserve">it </w:t>
      </w:r>
      <w:r w:rsidR="00F263C9" w:rsidRPr="00F263C9">
        <w:rPr>
          <w:noProof/>
        </w:rPr>
        <w:t>was</w:t>
      </w:r>
      <w:r w:rsidRPr="00F263C9">
        <w:rPr>
          <w:noProof/>
        </w:rPr>
        <w:t xml:space="preserve"> no</w:t>
      </w:r>
      <w:r w:rsidR="00F263C9" w:rsidRPr="00F263C9">
        <w:rPr>
          <w:noProof/>
        </w:rPr>
        <w:t>t</w:t>
      </w:r>
      <w:r w:rsidRPr="00F263C9">
        <w:rPr>
          <w:noProof/>
        </w:rPr>
        <w:t xml:space="preserve"> </w:t>
      </w:r>
      <w:r w:rsidR="00715E34" w:rsidRPr="00F263C9">
        <w:rPr>
          <w:noProof/>
        </w:rPr>
        <w:t>established</w:t>
      </w:r>
      <w:r w:rsidR="00715E34">
        <w:t xml:space="preserve"> that</w:t>
      </w:r>
      <w:r>
        <w:t xml:space="preserve"> the consent once removed doctrine </w:t>
      </w:r>
      <w:r w:rsidR="00715E34">
        <w:t>violated the</w:t>
      </w:r>
      <w:r>
        <w:t xml:space="preserve"> fourth </w:t>
      </w:r>
      <w:r w:rsidR="00715E34">
        <w:t>amendment</w:t>
      </w:r>
      <w:r>
        <w:t xml:space="preserve"> and thus </w:t>
      </w:r>
      <w:r w:rsidR="00715E34">
        <w:t>the Central</w:t>
      </w:r>
      <w:r>
        <w:t xml:space="preserve"> Utah Narcotics Task Force</w:t>
      </w:r>
      <w:r w:rsidR="00BD0375">
        <w:t xml:space="preserve"> had immune in their </w:t>
      </w:r>
      <w:r w:rsidR="00715E34">
        <w:t>search of</w:t>
      </w:r>
      <w:r w:rsidR="00BD0375">
        <w:t xml:space="preserve"> </w:t>
      </w:r>
      <w:r w:rsidR="00715E34">
        <w:t>Mr.</w:t>
      </w:r>
      <w:r w:rsidR="00BD0375">
        <w:t xml:space="preserve"> Callahan’s home. This decision meant that the</w:t>
      </w:r>
      <w:r w:rsidR="00715E34">
        <w:t xml:space="preserve"> main</w:t>
      </w:r>
      <w:r w:rsidR="00BD0375">
        <w:t xml:space="preserve"> issue that was being </w:t>
      </w:r>
      <w:r w:rsidR="00715E34">
        <w:t>investigated</w:t>
      </w:r>
      <w:r w:rsidR="00BD0375">
        <w:t xml:space="preserve"> based on the whether the actions of the </w:t>
      </w:r>
      <w:r w:rsidR="00715E34">
        <w:t>officers violated</w:t>
      </w:r>
      <w:r w:rsidR="00BD0375">
        <w:t xml:space="preserve"> the </w:t>
      </w:r>
      <w:r w:rsidR="00715E34">
        <w:t>fourth</w:t>
      </w:r>
      <w:r w:rsidR="00BD0375">
        <w:t xml:space="preserve"> </w:t>
      </w:r>
      <w:r w:rsidR="00715E34">
        <w:t>amendment</w:t>
      </w:r>
      <w:r w:rsidR="00BD0375">
        <w:t xml:space="preserve"> under the once removed doctrine </w:t>
      </w:r>
      <w:r w:rsidR="00BD0375" w:rsidRPr="00F263C9">
        <w:rPr>
          <w:noProof/>
        </w:rPr>
        <w:t>was overturned</w:t>
      </w:r>
      <w:r w:rsidR="00BD0375">
        <w:t xml:space="preserve">, and the court concluded that the officers did not violate the fourth </w:t>
      </w:r>
      <w:r w:rsidR="00715E34">
        <w:t>amendment</w:t>
      </w:r>
      <w:r w:rsidR="00BD0375">
        <w:t xml:space="preserve">. </w:t>
      </w:r>
    </w:p>
    <w:p w14:paraId="4EDFB7F6" w14:textId="7F8601F0" w:rsidR="00861D48" w:rsidRDefault="000824C0" w:rsidP="00FF463B">
      <w:pPr>
        <w:spacing w:line="480" w:lineRule="auto"/>
        <w:ind w:firstLine="720"/>
        <w:jc w:val="both"/>
      </w:pPr>
      <w:r>
        <w:t xml:space="preserve">The Supreme court also overturned the initial decision that was made in the case Saucier v. Katz which provide a review on </w:t>
      </w:r>
      <w:r w:rsidR="00715E34">
        <w:t>a two-part</w:t>
      </w:r>
      <w:r>
        <w:t xml:space="preserve"> </w:t>
      </w:r>
      <w:r w:rsidR="00715E34">
        <w:t>inquiry into</w:t>
      </w:r>
      <w:r>
        <w:t xml:space="preserve"> the underlying claims by government officials of their qualification of immunity claims. </w:t>
      </w:r>
      <w:r w:rsidR="00715E34">
        <w:t>The court</w:t>
      </w:r>
      <w:r>
        <w:t xml:space="preserve">, therefore, held that the </w:t>
      </w:r>
      <w:r w:rsidRPr="00F263C9">
        <w:rPr>
          <w:noProof/>
        </w:rPr>
        <w:t>inquiry</w:t>
      </w:r>
      <w:r>
        <w:t xml:space="preserve"> that </w:t>
      </w:r>
      <w:r w:rsidRPr="00F263C9">
        <w:rPr>
          <w:noProof/>
        </w:rPr>
        <w:t xml:space="preserve">was </w:t>
      </w:r>
      <w:r w:rsidR="00715E34" w:rsidRPr="00F263C9">
        <w:rPr>
          <w:noProof/>
        </w:rPr>
        <w:t>made</w:t>
      </w:r>
      <w:r w:rsidR="00715E34">
        <w:t xml:space="preserve"> should</w:t>
      </w:r>
      <w:r>
        <w:t xml:space="preserve"> </w:t>
      </w:r>
      <w:r w:rsidRPr="00F263C9">
        <w:rPr>
          <w:noProof/>
        </w:rPr>
        <w:t>be utilized</w:t>
      </w:r>
      <w:r>
        <w:t xml:space="preserve"> and the </w:t>
      </w:r>
      <w:r w:rsidR="00715E34">
        <w:t>discretion</w:t>
      </w:r>
      <w:r>
        <w:t xml:space="preserve"> of the lower courts based on the new determination. The decision that was made focused </w:t>
      </w:r>
      <w:r w:rsidR="00074BCA">
        <w:t>on substantial</w:t>
      </w:r>
      <w:r>
        <w:t xml:space="preserve"> judicial resources.</w:t>
      </w:r>
      <w:r w:rsidR="00074BCA">
        <w:t xml:space="preserve"> The conclusion that was created by the supreme court </w:t>
      </w:r>
      <w:r w:rsidR="00074BCA" w:rsidRPr="00F263C9">
        <w:rPr>
          <w:noProof/>
        </w:rPr>
        <w:t>was based</w:t>
      </w:r>
      <w:r w:rsidR="00074BCA">
        <w:t xml:space="preserve"> on the underlying arguments of the case as well as legal interpretation of the key statutes under the fourth </w:t>
      </w:r>
      <w:r w:rsidR="00715E34">
        <w:t>amendments</w:t>
      </w:r>
      <w:r w:rsidR="00074BCA">
        <w:t xml:space="preserve"> that were being </w:t>
      </w:r>
      <w:r w:rsidR="00715E34">
        <w:t>invoked by</w:t>
      </w:r>
      <w:r w:rsidR="00074BCA">
        <w:t xml:space="preserve"> the Petitioner in arguing the case.</w:t>
      </w:r>
    </w:p>
    <w:p w14:paraId="53055A62" w14:textId="43D3B364" w:rsidR="00E86261" w:rsidRDefault="00E86261" w:rsidP="00FF463B">
      <w:pPr>
        <w:spacing w:line="480" w:lineRule="auto"/>
        <w:ind w:firstLine="720"/>
        <w:jc w:val="both"/>
      </w:pPr>
      <w:r>
        <w:t xml:space="preserve">The fourth amendment provides citizens with a strong understanding </w:t>
      </w:r>
      <w:r w:rsidRPr="00F263C9">
        <w:rPr>
          <w:noProof/>
        </w:rPr>
        <w:t>o</w:t>
      </w:r>
      <w:r w:rsidR="00F263C9">
        <w:rPr>
          <w:noProof/>
        </w:rPr>
        <w:t>f</w:t>
      </w:r>
      <w:r>
        <w:t xml:space="preserve"> the existing limits under which their rights and privacy must be protected even from the government. Unreasonable searches create </w:t>
      </w:r>
      <w:r w:rsidRPr="00F263C9">
        <w:rPr>
          <w:noProof/>
        </w:rPr>
        <w:t>a</w:t>
      </w:r>
      <w:bookmarkStart w:id="0" w:name="_GoBack"/>
      <w:bookmarkEnd w:id="0"/>
      <w:r w:rsidRPr="00F263C9">
        <w:rPr>
          <w:noProof/>
        </w:rPr>
        <w:t xml:space="preserve"> difficult</w:t>
      </w:r>
      <w:r>
        <w:t xml:space="preserve"> focus on better strategies that need to </w:t>
      </w:r>
      <w:r w:rsidRPr="00F263C9">
        <w:rPr>
          <w:noProof/>
        </w:rPr>
        <w:t>be considered</w:t>
      </w:r>
      <w:r>
        <w:t xml:space="preserve"> in evaluating the evidence that </w:t>
      </w:r>
      <w:r w:rsidRPr="00F263C9">
        <w:rPr>
          <w:noProof/>
        </w:rPr>
        <w:t>is presented</w:t>
      </w:r>
      <w:r>
        <w:t xml:space="preserve"> in court. The due process highlights that </w:t>
      </w:r>
      <w:r w:rsidRPr="00F263C9">
        <w:rPr>
          <w:noProof/>
        </w:rPr>
        <w:t>for</w:t>
      </w:r>
      <w:r>
        <w:t xml:space="preserve"> any evidence to be submitted to help the prosecution, there is </w:t>
      </w:r>
      <w:r w:rsidR="00F263C9">
        <w:t xml:space="preserve">a </w:t>
      </w:r>
      <w:r w:rsidRPr="00F263C9">
        <w:rPr>
          <w:noProof/>
        </w:rPr>
        <w:t>need</w:t>
      </w:r>
      <w:r>
        <w:t xml:space="preserve"> to evaluate on whether it </w:t>
      </w:r>
      <w:r w:rsidRPr="00F263C9">
        <w:rPr>
          <w:noProof/>
        </w:rPr>
        <w:t>was obtained</w:t>
      </w:r>
      <w:r>
        <w:t xml:space="preserve"> successfully. Therefore, making better choices regarding the approach in determining the validity of evidence </w:t>
      </w:r>
      <w:r>
        <w:lastRenderedPageBreak/>
        <w:t xml:space="preserve">based on different doctrines provide </w:t>
      </w:r>
      <w:r w:rsidRPr="00F263C9">
        <w:rPr>
          <w:noProof/>
        </w:rPr>
        <w:t>a strong</w:t>
      </w:r>
      <w:r>
        <w:t xml:space="preserve"> evaluation of </w:t>
      </w:r>
      <w:r w:rsidRPr="00F263C9">
        <w:rPr>
          <w:noProof/>
        </w:rPr>
        <w:t>key</w:t>
      </w:r>
      <w:r>
        <w:t xml:space="preserve"> concepts that define the manner in which decisions within court processes </w:t>
      </w:r>
      <w:r w:rsidRPr="00F263C9">
        <w:rPr>
          <w:noProof/>
        </w:rPr>
        <w:t>are made</w:t>
      </w:r>
      <w:r>
        <w:t>.</w:t>
      </w:r>
    </w:p>
    <w:p w14:paraId="64A4B301" w14:textId="182B69D5" w:rsidR="00BD0375" w:rsidRDefault="000824C0" w:rsidP="00FF463B">
      <w:pPr>
        <w:spacing w:line="480" w:lineRule="auto"/>
        <w:ind w:firstLine="720"/>
        <w:jc w:val="both"/>
      </w:pPr>
      <w:r>
        <w:t xml:space="preserve">Police officers must have a clear probable cause based on the different existing exemptions which are essential in providing a greater understanding of essential elements that define </w:t>
      </w:r>
      <w:r w:rsidR="00715E34">
        <w:t>positive social</w:t>
      </w:r>
      <w:r>
        <w:t xml:space="preserve"> change.</w:t>
      </w:r>
      <w:r w:rsidR="00074BCA">
        <w:t xml:space="preserve"> When the police officers are obtaining evidence in any given scenario, it is </w:t>
      </w:r>
      <w:r w:rsidR="00715E34">
        <w:t>critical to</w:t>
      </w:r>
      <w:r w:rsidR="00074BCA">
        <w:t xml:space="preserve"> ensure that the due process </w:t>
      </w:r>
      <w:r w:rsidR="00074BCA" w:rsidRPr="00F263C9">
        <w:rPr>
          <w:noProof/>
        </w:rPr>
        <w:t>is followed</w:t>
      </w:r>
      <w:r w:rsidR="00074BCA">
        <w:t xml:space="preserve"> or risk the proof being rendered null and void because there is </w:t>
      </w:r>
      <w:r w:rsidR="00715E34">
        <w:t>no clear</w:t>
      </w:r>
      <w:r w:rsidR="00074BCA">
        <w:t xml:space="preserve"> understanding on essential elements that define positive change and strict adherence to the rule of law. </w:t>
      </w:r>
    </w:p>
    <w:p w14:paraId="5A36AB1C" w14:textId="057DDC6A" w:rsidR="00861D48" w:rsidRDefault="000824C0" w:rsidP="00FF463B">
      <w:pPr>
        <w:spacing w:line="480" w:lineRule="auto"/>
        <w:ind w:firstLine="720"/>
        <w:jc w:val="both"/>
      </w:pPr>
      <w:r>
        <w:t xml:space="preserve">Dissenting opinion </w:t>
      </w:r>
    </w:p>
    <w:p w14:paraId="487D8AFA" w14:textId="09EF66E3" w:rsidR="00074BCA" w:rsidRDefault="000824C0" w:rsidP="00FF463B">
      <w:pPr>
        <w:spacing w:line="480" w:lineRule="auto"/>
        <w:ind w:firstLine="720"/>
        <w:jc w:val="both"/>
      </w:pPr>
      <w:r>
        <w:t xml:space="preserve">The decision that was made by the </w:t>
      </w:r>
      <w:r w:rsidR="00715E34">
        <w:t>Supreme</w:t>
      </w:r>
      <w:r>
        <w:t xml:space="preserve"> </w:t>
      </w:r>
      <w:r w:rsidR="00715E34">
        <w:t>agreed</w:t>
      </w:r>
      <w:r>
        <w:t xml:space="preserve"> with all the nine </w:t>
      </w:r>
      <w:r w:rsidR="00715E34">
        <w:t>judges that</w:t>
      </w:r>
      <w:r>
        <w:t xml:space="preserve"> formed the </w:t>
      </w:r>
      <w:r w:rsidR="00715E34">
        <w:t>bench thus</w:t>
      </w:r>
      <w:r>
        <w:t xml:space="preserve"> there was no dissenting opinion. All the members of the </w:t>
      </w:r>
      <w:r w:rsidRPr="00F263C9">
        <w:rPr>
          <w:noProof/>
        </w:rPr>
        <w:t>bench</w:t>
      </w:r>
      <w:r>
        <w:t xml:space="preserve"> </w:t>
      </w:r>
      <w:r w:rsidR="00715E34" w:rsidRPr="00F263C9">
        <w:rPr>
          <w:noProof/>
        </w:rPr>
        <w:t>agreed</w:t>
      </w:r>
      <w:r>
        <w:t xml:space="preserve"> </w:t>
      </w:r>
      <w:r w:rsidR="00715E34">
        <w:t>that the</w:t>
      </w:r>
      <w:r>
        <w:t xml:space="preserve"> officers did not </w:t>
      </w:r>
      <w:r w:rsidR="00715E34">
        <w:t>violate the</w:t>
      </w:r>
      <w:r>
        <w:t xml:space="preserve"> respondent's fourth amendment rights based on the consent </w:t>
      </w:r>
      <w:r w:rsidR="00715E34">
        <w:t>once</w:t>
      </w:r>
      <w:r>
        <w:t xml:space="preserve"> removed. The decision that was made by the Court of </w:t>
      </w:r>
      <w:r w:rsidR="00715E34">
        <w:t>Appeal</w:t>
      </w:r>
      <w:r>
        <w:t xml:space="preserve"> was </w:t>
      </w:r>
      <w:r w:rsidR="00715E34">
        <w:t>reversed to</w:t>
      </w:r>
      <w:r>
        <w:t xml:space="preserve"> provide </w:t>
      </w:r>
      <w:r w:rsidR="00715E34">
        <w:t>different precedence</w:t>
      </w:r>
      <w:r>
        <w:t xml:space="preserve"> regarding the main issues that were </w:t>
      </w:r>
      <w:r w:rsidRPr="00F263C9">
        <w:rPr>
          <w:noProof/>
        </w:rPr>
        <w:t xml:space="preserve">being </w:t>
      </w:r>
      <w:r w:rsidR="00715E34" w:rsidRPr="00F263C9">
        <w:rPr>
          <w:noProof/>
        </w:rPr>
        <w:t>evaluated</w:t>
      </w:r>
      <w:r w:rsidR="00715E34">
        <w:t>.</w:t>
      </w:r>
    </w:p>
    <w:p w14:paraId="4A3F24FD" w14:textId="2586B827" w:rsidR="00CA63AF" w:rsidRDefault="00CA63AF"/>
    <w:p w14:paraId="3C537016" w14:textId="67FFC425" w:rsidR="00FF463B" w:rsidRDefault="00FF463B"/>
    <w:p w14:paraId="5A14BC92" w14:textId="689313EA" w:rsidR="00FF463B" w:rsidRDefault="00FF463B"/>
    <w:p w14:paraId="6D6FE0E8" w14:textId="2A30F20A" w:rsidR="00FF463B" w:rsidRDefault="00FF463B"/>
    <w:p w14:paraId="32C2366F" w14:textId="5FAF2121" w:rsidR="001543F0" w:rsidRDefault="001543F0"/>
    <w:p w14:paraId="5C96E2E7" w14:textId="238B91AF" w:rsidR="001543F0" w:rsidRDefault="001543F0"/>
    <w:p w14:paraId="3C60B147" w14:textId="647DCE4D" w:rsidR="001543F0" w:rsidRDefault="001543F0"/>
    <w:p w14:paraId="49605430" w14:textId="77777777" w:rsidR="001543F0" w:rsidRDefault="001543F0"/>
    <w:p w14:paraId="33BDA95A" w14:textId="0E16B58B" w:rsidR="00FF463B" w:rsidRDefault="00FF463B"/>
    <w:p w14:paraId="183F52CA" w14:textId="77777777" w:rsidR="00FF463B" w:rsidRDefault="00FF463B"/>
    <w:p w14:paraId="27E8F3B1" w14:textId="5057D930" w:rsidR="00CA63AF" w:rsidRDefault="000824C0" w:rsidP="00FF463B">
      <w:pPr>
        <w:jc w:val="center"/>
      </w:pPr>
      <w:r>
        <w:lastRenderedPageBreak/>
        <w:t>References</w:t>
      </w:r>
    </w:p>
    <w:p w14:paraId="59A273CC" w14:textId="77777777" w:rsidR="00FF463B" w:rsidRPr="00FF463B" w:rsidRDefault="000824C0" w:rsidP="00FF463B">
      <w:pPr>
        <w:spacing w:line="480" w:lineRule="auto"/>
        <w:ind w:left="720" w:hanging="720"/>
      </w:pPr>
      <w:r w:rsidRPr="00FF463B">
        <w:t xml:space="preserve">Heffernan, L. (2011). The Fourth Amendment's Exclusionary Rule: Blurring the Line Between Rule and Exception. </w:t>
      </w:r>
      <w:r w:rsidRPr="00FF463B">
        <w:rPr>
          <w:i/>
          <w:iCs/>
        </w:rPr>
        <w:t>International Commentary on Evidence</w:t>
      </w:r>
      <w:r w:rsidRPr="00FF463B">
        <w:t xml:space="preserve">, </w:t>
      </w:r>
      <w:r w:rsidRPr="00FF463B">
        <w:rPr>
          <w:i/>
          <w:iCs/>
        </w:rPr>
        <w:t>9</w:t>
      </w:r>
      <w:r w:rsidRPr="00FF463B">
        <w:t>(2).</w:t>
      </w:r>
    </w:p>
    <w:p w14:paraId="484137BE" w14:textId="77777777" w:rsidR="00FF463B" w:rsidRDefault="000824C0" w:rsidP="00FF463B">
      <w:pPr>
        <w:spacing w:line="480" w:lineRule="auto"/>
        <w:ind w:left="720" w:hanging="720"/>
      </w:pPr>
      <w:r w:rsidRPr="00FF463B">
        <w:rPr>
          <w:i/>
          <w:iCs/>
        </w:rPr>
        <w:t>Pearson v</w:t>
      </w:r>
      <w:r w:rsidRPr="00FF463B">
        <w:t xml:space="preserve">. </w:t>
      </w:r>
      <w:r w:rsidRPr="00FF463B">
        <w:rPr>
          <w:i/>
          <w:iCs/>
        </w:rPr>
        <w:t>Callahan</w:t>
      </w:r>
      <w:r w:rsidRPr="00FF463B">
        <w:t xml:space="preserve">, 555 U.S. 223, </w:t>
      </w:r>
      <w:r w:rsidRPr="00FF463B">
        <w:rPr>
          <w:i/>
          <w:iCs/>
        </w:rPr>
        <w:t>129 S</w:t>
      </w:r>
      <w:r w:rsidRPr="00FF463B">
        <w:t xml:space="preserve">. </w:t>
      </w:r>
      <w:r w:rsidRPr="00FF463B">
        <w:rPr>
          <w:i/>
          <w:iCs/>
        </w:rPr>
        <w:t>Ct</w:t>
      </w:r>
      <w:r w:rsidRPr="00FF463B">
        <w:t xml:space="preserve">. </w:t>
      </w:r>
      <w:r w:rsidRPr="00FF463B">
        <w:rPr>
          <w:i/>
          <w:iCs/>
        </w:rPr>
        <w:t>808</w:t>
      </w:r>
      <w:r w:rsidRPr="00FF463B">
        <w:t>, 172 L. Ed. 2d 565</w:t>
      </w:r>
    </w:p>
    <w:p w14:paraId="09045DAD" w14:textId="77777777" w:rsidR="00FF463B" w:rsidRDefault="000824C0" w:rsidP="00FF463B">
      <w:pPr>
        <w:spacing w:line="480" w:lineRule="auto"/>
        <w:ind w:left="720" w:hanging="720"/>
      </w:pPr>
      <w:r w:rsidRPr="00D537FA">
        <w:t xml:space="preserve">Pearson, et al. v. Callahan. (n.d.). </w:t>
      </w:r>
      <w:r w:rsidRPr="00D537FA">
        <w:rPr>
          <w:i/>
          <w:iCs/>
        </w:rPr>
        <w:t>Oyez</w:t>
      </w:r>
      <w:r w:rsidRPr="00D537FA">
        <w:t>. Retrieved September 30, 2018, from https://www.oyez.org/cases/2008/07-751</w:t>
      </w:r>
    </w:p>
    <w:p w14:paraId="1EB2A5D2" w14:textId="77777777" w:rsidR="00FF463B" w:rsidRDefault="00FF463B"/>
    <w:sectPr w:rsidR="00FF463B" w:rsidSect="001E632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302646" w14:textId="77777777" w:rsidR="00697F5B" w:rsidRDefault="00697F5B">
      <w:pPr>
        <w:spacing w:after="0" w:line="240" w:lineRule="auto"/>
      </w:pPr>
      <w:r>
        <w:separator/>
      </w:r>
    </w:p>
  </w:endnote>
  <w:endnote w:type="continuationSeparator" w:id="0">
    <w:p w14:paraId="2302B9B3" w14:textId="77777777" w:rsidR="00697F5B" w:rsidRDefault="00697F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68AA50" w14:textId="77777777" w:rsidR="00697F5B" w:rsidRDefault="00697F5B">
      <w:pPr>
        <w:spacing w:after="0" w:line="240" w:lineRule="auto"/>
      </w:pPr>
      <w:r>
        <w:separator/>
      </w:r>
    </w:p>
  </w:footnote>
  <w:footnote w:type="continuationSeparator" w:id="0">
    <w:p w14:paraId="3ECC2B19" w14:textId="77777777" w:rsidR="00697F5B" w:rsidRDefault="00697F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5145E8" w14:textId="6064CE88" w:rsidR="001E6321" w:rsidRDefault="000824C0">
    <w:pPr>
      <w:pStyle w:val="Header"/>
      <w:jc w:val="right"/>
    </w:pPr>
    <w:r w:rsidRPr="001E6321">
      <w:rPr>
        <w:iCs/>
      </w:rPr>
      <w:t>PEARSON V. CALLAHAN (2009) MINI BRIEF</w:t>
    </w:r>
    <w:r w:rsidRPr="001E6321">
      <w:rPr>
        <w:b/>
        <w:iCs/>
      </w:rPr>
      <w:t xml:space="preserve">  </w:t>
    </w:r>
    <w:r>
      <w:rPr>
        <w:b/>
        <w:iCs/>
      </w:rPr>
      <w:t xml:space="preserve">                                                                    </w:t>
    </w:r>
    <w:sdt>
      <w:sdtPr>
        <w:id w:val="96261893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52EE9FAF" w14:textId="77777777" w:rsidR="001E6321" w:rsidRDefault="001E63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636F3" w14:textId="1679B929" w:rsidR="001E6321" w:rsidRDefault="000824C0">
    <w:pPr>
      <w:pStyle w:val="Header"/>
      <w:jc w:val="right"/>
    </w:pPr>
    <w:r>
      <w:t xml:space="preserve">Running head: </w:t>
    </w:r>
    <w:r w:rsidRPr="001E6321">
      <w:rPr>
        <w:iCs/>
      </w:rPr>
      <w:t>PEARSON V. CALLAHAN (2009) MINI BRIEF</w:t>
    </w:r>
    <w:r>
      <w:rPr>
        <w:iCs/>
      </w:rPr>
      <w:t xml:space="preserve">                                             </w:t>
    </w:r>
    <w:r>
      <w:rPr>
        <w:b/>
        <w:iCs/>
      </w:rPr>
      <w:t xml:space="preserve">  </w:t>
    </w:r>
    <w:sdt>
      <w:sdtPr>
        <w:id w:val="-48054309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8DA9D10" w14:textId="77777777" w:rsidR="001E6321" w:rsidRDefault="001E632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LIwMjUxNTExMjUytrRU0lEKTi0uzszPAykwrAUAkq9+4SwAAAA="/>
  </w:docVars>
  <w:rsids>
    <w:rsidRoot w:val="00CA63AF"/>
    <w:rsid w:val="00061FEF"/>
    <w:rsid w:val="00074BCA"/>
    <w:rsid w:val="000824C0"/>
    <w:rsid w:val="000F7159"/>
    <w:rsid w:val="001543F0"/>
    <w:rsid w:val="001E6321"/>
    <w:rsid w:val="002F2740"/>
    <w:rsid w:val="00473051"/>
    <w:rsid w:val="004F0EAD"/>
    <w:rsid w:val="00504AAD"/>
    <w:rsid w:val="00614307"/>
    <w:rsid w:val="00697F5B"/>
    <w:rsid w:val="00715E34"/>
    <w:rsid w:val="008534CB"/>
    <w:rsid w:val="00861D48"/>
    <w:rsid w:val="008E534A"/>
    <w:rsid w:val="00A03602"/>
    <w:rsid w:val="00BD0375"/>
    <w:rsid w:val="00CA63AF"/>
    <w:rsid w:val="00D537FA"/>
    <w:rsid w:val="00E86261"/>
    <w:rsid w:val="00F263C9"/>
    <w:rsid w:val="00FD3C40"/>
    <w:rsid w:val="00FF4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C0322"/>
  <w15:chartTrackingRefBased/>
  <w15:docId w15:val="{FC507B02-D8AB-447D-ABD4-F587CDCE3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63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6321"/>
  </w:style>
  <w:style w:type="paragraph" w:styleId="Footer">
    <w:name w:val="footer"/>
    <w:basedOn w:val="Normal"/>
    <w:link w:val="FooterChar"/>
    <w:uiPriority w:val="99"/>
    <w:unhideWhenUsed/>
    <w:rsid w:val="001E63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6321"/>
  </w:style>
  <w:style w:type="character" w:styleId="Hyperlink">
    <w:name w:val="Hyperlink"/>
    <w:basedOn w:val="DefaultParagraphFont"/>
    <w:uiPriority w:val="99"/>
    <w:unhideWhenUsed/>
    <w:rsid w:val="00FF463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F463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43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3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1074</Words>
  <Characters>6127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USER</cp:lastModifiedBy>
  <cp:revision>4</cp:revision>
  <dcterms:created xsi:type="dcterms:W3CDTF">2018-09-30T22:08:00Z</dcterms:created>
  <dcterms:modified xsi:type="dcterms:W3CDTF">2018-10-01T00:14:00Z</dcterms:modified>
</cp:coreProperties>
</file>